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Workplace Injury Checklist</w:t>
      </w:r>
    </w:p>
    <w:p>
      <w:pPr>
        <w:pStyle w:val="Subtitle"/>
      </w:pPr>
      <w:r>
        <w:t>For Employees and LCTA Building Representatives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41"/>
        <w:gridCol w:w="5141"/>
      </w:tblGrid>
      <w:tr>
        <w:trPr>
          <w:cantSplit/>
        </w:trPr>
        <w:tc>
          <w:tcPr>
            <w:tcW w:type="dxa" w:w="5141"/>
            <w:tcMar>
              <w:top w:w="0" w:type="dxa"/>
              <w:start w:w="0" w:type="dxa"/>
              <w:bottom w:w="105" w:type="dxa"/>
              <w:end w:w="145" w:type="dxa"/>
            </w:tcMar>
          </w:tcPr>
          <w:p>
            <w:pPr>
              <w:spacing w:after="40"/>
            </w:pPr>
            <w:r>
              <w:rPr>
                <w:b/>
                <w:color w:val="61666C"/>
                <w:sz w:val="16"/>
              </w:rPr>
              <w:t>EMPLOYEE NAME</w:t>
            </w:r>
          </w:p>
          <w:p>
            <w:pPr>
              <w:spacing w:after="0"/>
            </w:pPr>
            <w:r>
              <w:rPr>
                <w:b w:val="0"/>
                <w:color w:val="61666C"/>
                <w:sz w:val="18"/>
              </w:rPr>
              <w:t>________________________________________________</w:t>
            </w:r>
          </w:p>
        </w:tc>
        <w:tc>
          <w:tcPr>
            <w:tcW w:type="dxa" w:w="5141"/>
            <w:tcMar>
              <w:top w:w="0" w:type="dxa"/>
              <w:start w:w="0" w:type="dxa"/>
              <w:bottom w:w="105" w:type="dxa"/>
              <w:end w:w="145" w:type="dxa"/>
            </w:tcMar>
          </w:tcPr>
          <w:p>
            <w:pPr>
              <w:spacing w:after="40"/>
            </w:pPr>
            <w:r>
              <w:rPr>
                <w:b/>
                <w:color w:val="61666C"/>
                <w:sz w:val="16"/>
              </w:rPr>
              <w:t>WORKSITE</w:t>
            </w:r>
          </w:p>
          <w:p>
            <w:pPr>
              <w:spacing w:after="0"/>
            </w:pPr>
            <w:r>
              <w:rPr>
                <w:b w:val="0"/>
                <w:color w:val="61666C"/>
                <w:sz w:val="18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5141"/>
            <w:tcMar>
              <w:top w:w="0" w:type="dxa"/>
              <w:start w:w="0" w:type="dxa"/>
              <w:bottom w:w="105" w:type="dxa"/>
              <w:end w:w="145" w:type="dxa"/>
            </w:tcMar>
          </w:tcPr>
          <w:p>
            <w:pPr>
              <w:spacing w:after="40"/>
            </w:pPr>
            <w:r>
              <w:rPr>
                <w:b/>
                <w:color w:val="61666C"/>
                <w:sz w:val="16"/>
              </w:rPr>
              <w:t>DATE / TIME OF INJURY</w:t>
            </w:r>
          </w:p>
          <w:p>
            <w:pPr>
              <w:spacing w:after="0"/>
            </w:pPr>
            <w:r>
              <w:rPr>
                <w:b w:val="0"/>
                <w:color w:val="61666C"/>
                <w:sz w:val="18"/>
              </w:rPr>
              <w:t>________________________________________________</w:t>
            </w:r>
          </w:p>
        </w:tc>
        <w:tc>
          <w:tcPr>
            <w:tcW w:type="dxa" w:w="5141"/>
            <w:tcMar>
              <w:top w:w="0" w:type="dxa"/>
              <w:start w:w="0" w:type="dxa"/>
              <w:bottom w:w="105" w:type="dxa"/>
              <w:end w:w="145" w:type="dxa"/>
            </w:tcMar>
          </w:tcPr>
          <w:p>
            <w:pPr>
              <w:spacing w:after="40"/>
            </w:pPr>
            <w:r>
              <w:rPr>
                <w:b/>
                <w:color w:val="61666C"/>
                <w:sz w:val="16"/>
              </w:rPr>
              <w:t>DATE REPORTED TO ADMINISTRATION</w:t>
            </w:r>
          </w:p>
          <w:p>
            <w:pPr>
              <w:spacing w:after="0"/>
            </w:pPr>
            <w:r>
              <w:rPr>
                <w:b w:val="0"/>
                <w:color w:val="61666C"/>
                <w:sz w:val="18"/>
              </w:rPr>
              <w:t>________________________________________________</w:t>
            </w:r>
          </w:p>
        </w:tc>
      </w:tr>
    </w:tbl>
    <w:p>
      <w:pPr>
        <w:pStyle w:val="Heading1"/>
        <w:pBdr>
          <w:bottom w:val="single" w:sz="4" w:color="D8DBDE" w:space="4"/>
        </w:pBdr>
      </w:pPr>
      <w:r>
        <w:t>01  IMMEDIATELY AFTER AN INJURY</w:t>
      </w:r>
    </w:p>
    <w:p>
      <w:pPr>
        <w:keepLines/>
        <w:tabs>
          <w:tab w:pos="346" w:val="left"/>
        </w:tabs>
        <w:spacing w:after="180"/>
        <w:ind w:left="346" w:hanging="346"/>
      </w:pPr>
      <w:sdt>
        <w:sdtPr>
          <w:alias w:val="Address immediate safety and medical needs"/>
          <w:tag w:val="check_101"/>
          <w:id w:val="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 w:eastAsia="DejaVu Sans"/>
              <w:sz w:val="23"/>
            </w:rPr>
            <w:t>☐</w:t>
          </w:r>
        </w:sdtContent>
      </w:sdt>
      <w:r>
        <w:tab/>
      </w:r>
      <w:r>
        <w:rPr>
          <w:b/>
        </w:rPr>
        <w:t xml:space="preserve">Address immediate safety and medical needs. </w:t>
      </w:r>
      <w:r>
        <w:rPr>
          <w:b w:val="0"/>
        </w:rPr>
        <w:t xml:space="preserve">Request assistance and classroom coverage when necessary. </w:t>
      </w:r>
      <w:r>
        <w:rPr>
          <w:b/>
        </w:rPr>
        <w:t>Do not delay emergency medical care to complete paperwork.</w:t>
      </w:r>
      <w:r>
        <w:rPr>
          <w:b w:val="0"/>
        </w:rPr>
      </w:r>
    </w:p>
    <w:p>
      <w:pPr>
        <w:keepLines/>
        <w:tabs>
          <w:tab w:pos="346" w:val="left"/>
        </w:tabs>
        <w:spacing w:after="180"/>
        <w:ind w:left="346" w:hanging="346"/>
      </w:pPr>
      <w:sdt>
        <w:sdtPr>
          <w:alias w:val="Notify your principal/site administrator or designee immediately"/>
          <w:tag w:val="check_102"/>
          <w:id w:val="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 w:eastAsia="DejaVu Sans"/>
              <w:sz w:val="23"/>
            </w:rPr>
            <w:t>☐</w:t>
          </w:r>
        </w:sdtContent>
      </w:sdt>
      <w:r>
        <w:tab/>
      </w:r>
      <w:r>
        <w:rPr>
          <w:b/>
        </w:rPr>
        <w:t xml:space="preserve">Notify your principal/site administrator or designee immediately. </w:t>
      </w:r>
      <w:r>
        <w:rPr>
          <w:b w:val="0"/>
        </w:rPr>
        <w:t>Clearly identify the injury as work-related and follow up in writing.</w:t>
      </w:r>
      <w:r>
        <w:rPr>
          <w:b w:val="0"/>
          <w:color w:val="61666C"/>
          <w:sz w:val="16"/>
          <w:vertAlign w:val="superscript"/>
        </w:rPr>
        <w:t xml:space="preserve"> [1]</w:t>
      </w:r>
    </w:p>
    <w:p>
      <w:pPr>
        <w:keepLines/>
        <w:tabs>
          <w:tab w:pos="346" w:val="left"/>
        </w:tabs>
        <w:spacing w:after="180"/>
        <w:ind w:left="346" w:hanging="346"/>
      </w:pPr>
      <w:sdt>
        <w:sdtPr>
          <w:alias w:val="Document what happened"/>
          <w:tag w:val="check_103"/>
          <w:id w:val="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 w:eastAsia="DejaVu Sans"/>
              <w:sz w:val="23"/>
            </w:rPr>
            <w:t>☐</w:t>
          </w:r>
        </w:sdtContent>
      </w:sdt>
      <w:r>
        <w:tab/>
      </w:r>
      <w:r>
        <w:rPr>
          <w:b/>
        </w:rPr>
        <w:t xml:space="preserve">Document what happened. </w:t>
      </w:r>
      <w:r>
        <w:rPr>
          <w:b w:val="0"/>
        </w:rPr>
        <w:t>Record the date, time, location, how the injury occurred, witnesses, symptoms, who was notified, and the response received.</w:t>
      </w:r>
    </w:p>
    <w:p>
      <w:pPr>
        <w:keepLines/>
        <w:tabs>
          <w:tab w:pos="346" w:val="left"/>
        </w:tabs>
        <w:spacing w:after="180"/>
        <w:ind w:left="346" w:hanging="346"/>
      </w:pPr>
      <w:sdt>
        <w:sdtPr>
          <w:alias w:val="Complete the required paperwork"/>
          <w:tag w:val="check_104"/>
          <w:id w:val="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 w:eastAsia="DejaVu Sans"/>
              <w:sz w:val="23"/>
            </w:rPr>
            <w:t>☐</w:t>
          </w:r>
        </w:sdtContent>
      </w:sdt>
      <w:r>
        <w:tab/>
      </w:r>
      <w:r>
        <w:rPr>
          <w:b/>
        </w:rPr>
        <w:t xml:space="preserve">Complete the required paperwork. </w:t>
      </w:r>
      <w:r>
        <w:rPr>
          <w:b w:val="0"/>
        </w:rPr>
        <w:t xml:space="preserve">Complete the incident documentation, </w:t>
      </w:r>
      <w:r>
        <w:rPr>
          <w:b/>
        </w:rPr>
        <w:t>Notice of Injury, and written leave request through Risk Management</w:t>
      </w:r>
      <w:r>
        <w:rPr>
          <w:b w:val="0"/>
        </w:rPr>
        <w:t>. Do not assume a student discipline referral or incident report alone completes the injury-reporting process. In an emergency, complete the required documents as soon as medically capable.</w:t>
      </w:r>
      <w:r>
        <w:rPr>
          <w:b w:val="0"/>
          <w:color w:val="61666C"/>
          <w:sz w:val="16"/>
          <w:vertAlign w:val="superscript"/>
        </w:rPr>
        <w:t xml:space="preserve"> [1]</w:t>
      </w:r>
    </w:p>
    <w:p>
      <w:pPr>
        <w:pStyle w:val="Heading1"/>
        <w:pBdr>
          <w:bottom w:val="single" w:sz="4" w:color="D8DBDE" w:space="4"/>
        </w:pBdr>
      </w:pPr>
      <w:r>
        <w:t>02  MEDICAL CARE AND RETURN TO WORK</w:t>
      </w:r>
    </w:p>
    <w:p>
      <w:pPr>
        <w:keepLines/>
        <w:tabs>
          <w:tab w:pos="346" w:val="left"/>
        </w:tabs>
        <w:spacing w:after="180"/>
        <w:ind w:left="346" w:hanging="346"/>
      </w:pPr>
      <w:sdt>
        <w:sdtPr>
          <w:alias w:val="Confirm the authorized medical provider with Risk Management"/>
          <w:tag w:val="check_105"/>
          <w:id w:val="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 w:eastAsia="DejaVu Sans"/>
              <w:sz w:val="23"/>
            </w:rPr>
            <w:t>☐</w:t>
          </w:r>
        </w:sdtContent>
      </w:sdt>
      <w:r>
        <w:tab/>
      </w:r>
      <w:r>
        <w:rPr>
          <w:b/>
        </w:rPr>
        <w:t xml:space="preserve">Confirm the authorized medical provider with Risk Management. </w:t>
      </w:r>
      <w:r>
        <w:rPr>
          <w:b w:val="0"/>
        </w:rPr>
        <w:t>Obtain the required medical documentation connecting the injury to your work.</w:t>
      </w:r>
      <w:r>
        <w:rPr>
          <w:b w:val="0"/>
          <w:color w:val="61666C"/>
          <w:sz w:val="16"/>
          <w:vertAlign w:val="superscript"/>
        </w:rPr>
        <w:t xml:space="preserve"> [1]</w:t>
      </w:r>
    </w:p>
    <w:p>
      <w:pPr>
        <w:keepLines/>
        <w:tabs>
          <w:tab w:pos="346" w:val="left"/>
        </w:tabs>
        <w:spacing w:after="180"/>
        <w:ind w:left="346" w:hanging="346"/>
      </w:pPr>
      <w:sdt>
        <w:sdtPr>
          <w:alias w:val="Obtain written work-status instructions"/>
          <w:tag w:val="check_106"/>
          <w:id w:val="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 w:eastAsia="DejaVu Sans"/>
              <w:sz w:val="23"/>
            </w:rPr>
            <w:t>☐</w:t>
          </w:r>
        </w:sdtContent>
      </w:sdt>
      <w:r>
        <w:tab/>
      </w:r>
      <w:r>
        <w:rPr>
          <w:b/>
        </w:rPr>
        <w:t xml:space="preserve">Obtain written work-status instructions. </w:t>
      </w:r>
      <w:r>
        <w:rPr>
          <w:b w:val="0"/>
        </w:rPr>
        <w:t>Ask the authorized provider to document whether you cannot work, can work with restrictions, or may return to full duty.</w:t>
      </w:r>
    </w:p>
    <w:p>
      <w:pPr>
        <w:keepLines/>
        <w:tabs>
          <w:tab w:pos="346" w:val="left"/>
        </w:tabs>
        <w:spacing w:after="180"/>
        <w:ind w:left="346" w:hanging="346"/>
      </w:pPr>
      <w:sdt>
        <w:sdtPr>
          <w:alias w:val="Follow medical restrictions and communicate changes"/>
          <w:tag w:val="check_107"/>
          <w:id w:val="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 w:eastAsia="DejaVu Sans"/>
              <w:sz w:val="23"/>
            </w:rPr>
            <w:t>☐</w:t>
          </w:r>
        </w:sdtContent>
      </w:sdt>
      <w:r>
        <w:tab/>
      </w:r>
      <w:r>
        <w:rPr>
          <w:b/>
        </w:rPr>
        <w:t xml:space="preserve">Follow medical restrictions and communicate changes. </w:t>
      </w:r>
      <w:r>
        <w:rPr>
          <w:b w:val="0"/>
        </w:rPr>
        <w:t xml:space="preserve">Provide updated documentation through the appropriate District process and cooperate with suitable light-duty assignments </w:t>
      </w:r>
      <w:r>
        <w:rPr>
          <w:b/>
        </w:rPr>
        <w:t>within the authorized physician’s restrictions</w:t>
      </w:r>
      <w:r>
        <w:rPr>
          <w:b w:val="0"/>
        </w:rPr>
        <w:t>.</w:t>
      </w:r>
      <w:r>
        <w:rPr>
          <w:b w:val="0"/>
          <w:color w:val="61666C"/>
          <w:sz w:val="16"/>
          <w:vertAlign w:val="superscript"/>
        </w:rPr>
        <w:t xml:space="preserve"> [2]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tcMar>
              <w:top w:w="105" w:type="dxa"/>
              <w:start w:w="150" w:type="dxa"/>
              <w:bottom w:w="105" w:type="dxa"/>
              <w:end w:w="150" w:type="dxa"/>
            </w:tcMar>
            <w:shd w:fill="F5F5F5"/>
            <w:tcBorders>
              <w:left w:val="single" w:sz="18" w:color="BA3E36"/>
            </w:tcBorders>
          </w:tcPr>
          <w:p>
            <w:pPr>
              <w:spacing w:after="0" w:line="250" w:lineRule="auto"/>
            </w:pPr>
            <w:r>
              <w:rPr>
                <w:b/>
                <w:color w:val="303030"/>
                <w:sz w:val="20"/>
              </w:rPr>
              <w:t xml:space="preserve">Keep your records together. </w:t>
            </w:r>
            <w:r>
              <w:rPr>
                <w:b w:val="0"/>
                <w:color w:val="303030"/>
                <w:sz w:val="20"/>
              </w:rPr>
              <w:t>Retain copies of reports, medical restrictions, leave requests, and District correspondence for follow-up.</w:t>
            </w:r>
          </w:p>
        </w:tc>
      </w:tr>
    </w:tbl>
    <w:p>
      <w:r>
        <w:br w:type="page"/>
      </w:r>
    </w:p>
    <w:p>
      <w:pPr>
        <w:pStyle w:val="Title"/>
      </w:pPr>
      <w:r>
        <w:t>Leave, Pay &amp; Follow-Up</w:t>
      </w:r>
    </w:p>
    <w:p>
      <w:pPr>
        <w:pStyle w:val="Subtitle"/>
      </w:pPr>
      <w:r>
        <w:t>Workplace Injury Checklist  |  Continued</w:t>
      </w:r>
    </w:p>
    <w:p>
      <w:pPr>
        <w:pStyle w:val="Heading1"/>
        <w:pBdr>
          <w:bottom w:val="single" w:sz="4" w:color="D8DBDE" w:space="4"/>
        </w:pBdr>
      </w:pPr>
      <w:r>
        <w:t>03  LEAVE AND PAY</w:t>
      </w:r>
    </w:p>
    <w:p>
      <w:pPr>
        <w:keepLines/>
        <w:tabs>
          <w:tab w:pos="346" w:val="left"/>
        </w:tabs>
        <w:spacing w:after="180"/>
        <w:ind w:left="346" w:hanging="346"/>
      </w:pPr>
      <w:sdt>
        <w:sdtPr>
          <w:alias w:val="Request the applicable injury-in-line-of-duty leave"/>
          <w:tag w:val="check_108"/>
          <w:id w:val="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 w:eastAsia="DejaVu Sans"/>
              <w:sz w:val="23"/>
            </w:rPr>
            <w:t>☐</w:t>
          </w:r>
        </w:sdtContent>
      </w:sdt>
      <w:r>
        <w:tab/>
      </w:r>
      <w:r>
        <w:rPr>
          <w:b/>
        </w:rPr>
        <w:t xml:space="preserve">Request the applicable injury-in-line-of-duty leave. </w:t>
      </w:r>
      <w:r>
        <w:rPr>
          <w:b w:val="0"/>
        </w:rPr>
        <w:t xml:space="preserve">When the injury prevents you from performing </w:t>
      </w:r>
      <w:r>
        <w:rPr>
          <w:b/>
        </w:rPr>
        <w:t>any duties</w:t>
      </w:r>
      <w:r>
        <w:rPr>
          <w:b w:val="0"/>
        </w:rPr>
        <w:t xml:space="preserve">, Article 16.012 provides up to </w:t>
      </w:r>
      <w:r>
        <w:rPr>
          <w:b/>
        </w:rPr>
        <w:t>15 days</w:t>
      </w:r>
      <w:r>
        <w:rPr>
          <w:b w:val="0"/>
        </w:rPr>
        <w:t xml:space="preserve">, or up to </w:t>
      </w:r>
      <w:r>
        <w:rPr>
          <w:b/>
        </w:rPr>
        <w:t>90 days instead of 15</w:t>
      </w:r>
      <w:r>
        <w:rPr>
          <w:b w:val="0"/>
        </w:rPr>
        <w:t xml:space="preserve"> when the injury results from violence inflicted by a student or parent. Eligibility and documentation requirements apply; this leave does not reduce accumulated leave.</w:t>
      </w:r>
      <w:r>
        <w:rPr>
          <w:b w:val="0"/>
          <w:color w:val="61666C"/>
          <w:sz w:val="16"/>
          <w:vertAlign w:val="superscript"/>
        </w:rPr>
        <w:t xml:space="preserve"> [1]</w:t>
      </w:r>
    </w:p>
    <w:p>
      <w:pPr>
        <w:keepLines/>
        <w:tabs>
          <w:tab w:pos="346" w:val="left"/>
        </w:tabs>
        <w:spacing w:after="180"/>
        <w:ind w:left="346" w:hanging="346"/>
      </w:pPr>
      <w:sdt>
        <w:sdtPr>
          <w:alias w:val="Flag any battery while on duty"/>
          <w:tag w:val="check_109"/>
          <w:id w:val="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 w:eastAsia="DejaVu Sans"/>
              <w:sz w:val="23"/>
            </w:rPr>
            <w:t>☐</w:t>
          </w:r>
        </w:sdtContent>
      </w:sdt>
      <w:r>
        <w:tab/>
      </w:r>
      <w:r>
        <w:rPr>
          <w:b/>
        </w:rPr>
        <w:t xml:space="preserve">Flag any battery while on duty. </w:t>
      </w:r>
      <w:r>
        <w:rPr>
          <w:b w:val="0"/>
        </w:rPr>
        <w:t xml:space="preserve">A teacher who is the victim of battery may request up to </w:t>
      </w:r>
      <w:r>
        <w:rPr>
          <w:b/>
        </w:rPr>
        <w:t>three days of paid leave immediately following the incident</w:t>
      </w:r>
      <w:r>
        <w:rPr>
          <w:b w:val="0"/>
        </w:rPr>
        <w:t>, without deduction from accumulated leave. Ask LCTA to review how the applicable leave provisions should be coordinated.</w:t>
      </w:r>
      <w:r>
        <w:rPr>
          <w:b w:val="0"/>
          <w:color w:val="61666C"/>
          <w:sz w:val="16"/>
          <w:vertAlign w:val="superscript"/>
        </w:rPr>
        <w:t xml:space="preserve"> [3]</w:t>
      </w:r>
    </w:p>
    <w:p>
      <w:pPr>
        <w:keepLines/>
        <w:tabs>
          <w:tab w:pos="346" w:val="left"/>
        </w:tabs>
        <w:spacing w:after="180"/>
        <w:ind w:left="346" w:hanging="346"/>
      </w:pPr>
      <w:sdt>
        <w:sdtPr>
          <w:alias w:val="Check your leave balance and pay statement"/>
          <w:tag w:val="check_110"/>
          <w:id w:val="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 w:eastAsia="DejaVu Sans"/>
              <w:sz w:val="23"/>
            </w:rPr>
            <w:t>☐</w:t>
          </w:r>
        </w:sdtContent>
      </w:sdt>
      <w:r>
        <w:tab/>
      </w:r>
      <w:r>
        <w:rPr>
          <w:b/>
        </w:rPr>
        <w:t xml:space="preserve">Check your leave balance and pay statement. </w:t>
      </w:r>
      <w:r>
        <w:rPr>
          <w:b w:val="0"/>
        </w:rPr>
        <w:t>Ask for written confirmation of the leave category being used, and promptly report any unexpected sick-leave deductions or pay reductions to LCTA.</w:t>
      </w:r>
    </w:p>
    <w:p>
      <w:pPr>
        <w:pStyle w:val="Heading1"/>
        <w:pBdr>
          <w:bottom w:val="single" w:sz="4" w:color="D8DBDE" w:space="4"/>
        </w:pBdr>
      </w:pPr>
      <w:r>
        <w:t>04  SAFETY AND FOLLOW-UP</w:t>
      </w:r>
    </w:p>
    <w:p>
      <w:pPr>
        <w:keepLines/>
        <w:tabs>
          <w:tab w:pos="346" w:val="left"/>
        </w:tabs>
        <w:spacing w:after="180"/>
        <w:ind w:left="346" w:hanging="346"/>
      </w:pPr>
      <w:sdt>
        <w:sdtPr>
          <w:alias w:val="Report continuing safety concerns in writing"/>
          <w:tag w:val="check_111"/>
          <w:id w:val="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 w:eastAsia="DejaVu Sans"/>
              <w:sz w:val="23"/>
            </w:rPr>
            <w:t>☐</w:t>
          </w:r>
        </w:sdtContent>
      </w:sdt>
      <w:r>
        <w:tab/>
      </w:r>
      <w:r>
        <w:rPr>
          <w:b/>
        </w:rPr>
        <w:t xml:space="preserve">Report continuing safety concerns in writing. </w:t>
      </w:r>
      <w:r>
        <w:rPr>
          <w:b w:val="0"/>
        </w:rPr>
        <w:t>When applicable, request immediate relief, administrative review, or assistance with the contractual student-removal process.</w:t>
      </w:r>
      <w:r>
        <w:rPr>
          <w:b w:val="0"/>
          <w:color w:val="61666C"/>
          <w:sz w:val="16"/>
          <w:vertAlign w:val="superscript"/>
        </w:rPr>
        <w:t xml:space="preserve"> [4]</w:t>
      </w:r>
    </w:p>
    <w:p>
      <w:pPr>
        <w:keepLines/>
        <w:tabs>
          <w:tab w:pos="346" w:val="left"/>
        </w:tabs>
        <w:spacing w:after="180"/>
        <w:ind w:left="346" w:hanging="346"/>
      </w:pPr>
      <w:sdt>
        <w:sdtPr>
          <w:alias w:val="Keep copies and stay in communication"/>
          <w:tag w:val="check_112"/>
          <w:id w:val="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 w:eastAsia="DejaVu Sans"/>
              <w:sz w:val="23"/>
            </w:rPr>
            <w:t>☐</w:t>
          </w:r>
        </w:sdtContent>
      </w:sdt>
      <w:r>
        <w:tab/>
      </w:r>
      <w:r>
        <w:rPr>
          <w:b/>
        </w:rPr>
        <w:t xml:space="preserve">Keep copies and stay in communication. </w:t>
      </w:r>
      <w:r>
        <w:rPr>
          <w:b w:val="0"/>
        </w:rPr>
        <w:t>Retain reports, medical restrictions, leave requests, and District correspondence. Keep administration informed about medically necessary absences.</w:t>
      </w:r>
    </w:p>
    <w:p>
      <w:pPr>
        <w:keepLines/>
        <w:tabs>
          <w:tab w:pos="346" w:val="left"/>
        </w:tabs>
        <w:spacing w:after="180"/>
        <w:ind w:left="346" w:hanging="346"/>
      </w:pPr>
      <w:sdt>
        <w:sdtPr>
          <w:alias w:val="Contact LCTA promptly about unresolved issues"/>
          <w:tag w:val="check_113"/>
          <w:id w:val="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 w:eastAsia="DejaVu Sans"/>
              <w:sz w:val="23"/>
            </w:rPr>
            <w:t>☐</w:t>
          </w:r>
        </w:sdtContent>
      </w:sdt>
      <w:r>
        <w:tab/>
      </w:r>
      <w:r>
        <w:rPr>
          <w:b/>
        </w:rPr>
        <w:t xml:space="preserve">Contact LCTA promptly about unresolved issues. </w:t>
      </w:r>
      <w:r>
        <w:rPr>
          <w:b w:val="0"/>
        </w:rPr>
        <w:t>Flag delayed paperwork or treatment, denied leave, incorrect pay, pressure to work outside medical restrictions, or unresolved classroom safety concerns.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82"/>
      </w:tblGrid>
      <w:tr>
        <w:trPr>
          <w:cantSplit/>
        </w:trPr>
        <w:tc>
          <w:tcPr>
            <w:tcW w:type="dxa" w:w="10282"/>
            <w:tcMar>
              <w:top w:w="105" w:type="dxa"/>
              <w:start w:w="150" w:type="dxa"/>
              <w:bottom w:w="105" w:type="dxa"/>
              <w:end w:w="150" w:type="dxa"/>
            </w:tcMar>
            <w:shd w:fill="F5F5F5"/>
            <w:tcBorders>
              <w:left w:val="single" w:sz="18" w:color="BA3E36"/>
            </w:tcBorders>
          </w:tcPr>
          <w:p>
            <w:pPr>
              <w:spacing w:after="0" w:line="250" w:lineRule="auto"/>
            </w:pPr>
            <w:r>
              <w:rPr>
                <w:b/>
                <w:color w:val="303030"/>
                <w:sz w:val="20"/>
              </w:rPr>
              <w:t xml:space="preserve">Building Representatives: </w:t>
            </w:r>
            <w:r>
              <w:rPr>
                <w:b w:val="0"/>
                <w:color w:val="303030"/>
                <w:sz w:val="20"/>
              </w:rPr>
              <w:t>Help the member report, document, and follow through. Do not wait for an injury to appear “serious enough” before helping the member start the reporting process.</w:t>
            </w:r>
          </w:p>
        </w:tc>
      </w:tr>
    </w:tbl>
    <w:p>
      <w:pPr>
        <w:spacing w:before="220" w:after="80"/>
      </w:pPr>
      <w:r>
        <w:rPr>
          <w:b/>
          <w:color w:val="61666C"/>
          <w:sz w:val="17"/>
        </w:rPr>
        <w:t>FOLLOW-UP NOTES / UNRESOLVED ITEMS</w:t>
      </w:r>
    </w:p>
    <w:p>
      <w:pPr>
        <w:spacing w:after="0" w:line="360" w:lineRule="exact"/>
        <w:pBdr>
          <w:bottom w:val="single" w:sz="4" w:color="D8DBDE" w:space="0"/>
          <w:between w:val="single" w:sz="4" w:color="D8DBDE"/>
        </w:pBdr>
      </w:pPr>
      <w:r>
        <w:t xml:space="preserve"> </w:t>
      </w:r>
    </w:p>
    <w:p>
      <w:pPr>
        <w:spacing w:after="0" w:line="360" w:lineRule="exact"/>
        <w:pBdr>
          <w:bottom w:val="single" w:sz="4" w:color="D8DBDE" w:space="0"/>
          <w:between w:val="single" w:sz="4" w:color="D8DBDE"/>
        </w:pBdr>
      </w:pPr>
      <w:r>
        <w:t xml:space="preserve"> </w:t>
      </w:r>
    </w:p>
    <w:p>
      <w:pPr>
        <w:spacing w:after="0" w:line="360" w:lineRule="exact"/>
        <w:pBdr>
          <w:bottom w:val="single" w:sz="4" w:color="D8DBDE" w:space="0"/>
          <w:between w:val="single" w:sz="4" w:color="D8DBDE"/>
        </w:pBdr>
      </w:pPr>
      <w:r>
        <w:t xml:space="preserve"> </w:t>
      </w:r>
    </w:p>
    <w:p>
      <w:pPr>
        <w:spacing w:before="160" w:after="60"/>
      </w:pPr>
      <w:r>
        <w:rPr>
          <w:b/>
          <w:color w:val="61666C"/>
          <w:sz w:val="16"/>
        </w:rPr>
        <w:t>CONTRACT REFERENCES</w:t>
      </w:r>
    </w:p>
    <w:p>
      <w:pPr>
        <w:spacing w:after="60" w:line="240" w:lineRule="auto"/>
      </w:pPr>
      <w:r>
        <w:rPr>
          <w:b/>
          <w:color w:val="61666C"/>
          <w:sz w:val="16"/>
        </w:rPr>
        <w:t xml:space="preserve">2025–2028 LCS/LCTA Collective Bargaining Contract. </w:t>
      </w:r>
      <w:r>
        <w:rPr>
          <w:b w:val="0"/>
          <w:color w:val="61666C"/>
          <w:sz w:val="16"/>
        </w:rPr>
        <w:t>[1] Article 16.012(A)–(B).  [2] Article 16.012(E).  [3] Article 10.07(A)(1).  [4] Articles 7.07(B)–(D), 10.07(A)(2), and 10.09(A)–(B).</w:t>
      </w:r>
    </w:p>
    <w:p>
      <w:pPr>
        <w:spacing w:after="0" w:line="240" w:lineRule="auto"/>
      </w:pPr>
      <w:r>
        <w:rPr>
          <w:b w:val="0"/>
          <w:color w:val="61666C"/>
          <w:sz w:val="16"/>
        </w:rPr>
        <w:t>LCTA member-support resource; not a District form. This checklist does not replace required District/Risk Management reports or leave requests. Eligibility and documentation requirements apply.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786" w:right="979" w:bottom="893" w:left="979" w:header="461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82" w:val="right"/>
      </w:tabs>
      <w:spacing w:before="0" w:after="0"/>
      <w:pBdr>
        <w:bottom w:val="single" w:sz="4" w:color="D8DBDE" w:space="5"/>
      </w:pBdr>
    </w:pPr>
    <w:r>
      <w:rPr>
        <w:b w:val="0"/>
        <w:color w:val="61666C"/>
        <w:sz w:val="16"/>
      </w:rPr>
      <w:t>LCTA MEMBER SUPPORT  |  WORKPLACE INJURY</w:t>
    </w:r>
    <w:r>
      <w:rPr>
        <w:b w:val="0"/>
        <w:sz w:val="16"/>
      </w:rPr>
      <w:tab/>
    </w:r>
    <w:r>
      <w:rPr>
        <w:b w:val="0"/>
        <w:color w:val="61666C"/>
        <w:sz w:val="16"/>
      </w:rPr>
      <w:t xml:space="preserve">Page </w:t>
    </w:r>
    <w:r>
      <w:rPr>
        <w:color w:val="61666C"/>
        <w:sz w:val="16"/>
      </w:rPr>
    </w:r>
    <w:fldSimple w:instr="PAGE">
      <w:r>
        <w:rPr>
          <w:sz w:val="16"/>
        </w:rPr>
        <w:t>1</w:t>
      </w:r>
    </w:fldSimple>
    <w:r>
      <w:rPr>
        <w:b w:val="0"/>
        <w:color w:val="61666C"/>
        <w:sz w:val="16"/>
      </w:rPr>
      <w:t xml:space="preserve"> of </w:t>
    </w:r>
    <w:r>
      <w:rPr>
        <w:color w:val="61666C"/>
        <w:sz w:val="16"/>
      </w:rPr>
    </w:r>
    <w:fldSimple w:instr="NUMPAGES">
      <w:r>
        <w:rPr>
          <w:sz w:val="16"/>
        </w:rPr>
        <w:t>2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rPr>
        <w:sz w:val="2"/>
      </w:rPr>
    </w: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555"/>
      <w:gridCol w:w="5875"/>
      <w:gridCol w:w="2851"/>
    </w:tblGrid>
    <w:tr>
      <w:tc>
        <w:tcPr>
          <w:tcW w:type="dxa" w:w="1555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714034" cy="713232"/>
                <wp:docPr id="1" name="Picture 1" descr="Leon Classroom Teachers Association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CTA_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034" cy="71323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875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spacing w:after="0" w:line="245" w:lineRule="auto"/>
          </w:pPr>
          <w:r>
            <w:rPr>
              <w:b/>
              <w:color w:val="303030"/>
              <w:sz w:val="25"/>
            </w:rPr>
            <w:t>LEON CLASSROOM</w:t>
            <w:br/>
            <w:t>TEACHERS ASSOCIATION</w:t>
          </w:r>
        </w:p>
      </w:tc>
      <w:tc>
        <w:tcPr>
          <w:tcW w:type="dxa" w:w="2851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spacing w:after="0"/>
            <w:jc w:val="right"/>
          </w:pPr>
          <w:r>
            <w:rPr>
              <w:b/>
              <w:color w:val="BA3E36"/>
              <w:sz w:val="18"/>
            </w:rPr>
            <w:t>MEMBER SUPPORT</w:t>
          </w:r>
          <w:r>
            <w:br/>
          </w:r>
          <w:r>
            <w:rPr>
              <w:b w:val="0"/>
              <w:color w:val="61666C"/>
              <w:sz w:val="16"/>
            </w:rPr>
            <w:t>EMPLOYEE CHECKLIST</w:t>
          </w:r>
        </w:p>
      </w:tc>
    </w:tr>
  </w:tbl>
  <w:p>
    <w:pPr>
      <w:spacing w:before="60" w:after="0" w:line="20" w:lineRule="exact"/>
      <w:pBdr>
        <w:bottom w:val="single" w:sz="8" w:color="BA3E36" w:space="2"/>
      </w:pBdr>
    </w:pPr>
    <w:r>
      <w:rPr>
        <w:sz w:val="2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TrackMoves/>
  <w:doNotTrackFormatting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3030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BA3E36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i w:val="0"/>
      <w:color w:val="303030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after="240"/>
    </w:pPr>
    <w:rPr>
      <w:rFonts w:asciiTheme="majorHAnsi" w:eastAsiaTheme="majorEastAsia" w:hAnsiTheme="majorHAnsi" w:cstheme="majorBidi" w:ascii="Arial" w:hAnsi="Arial"/>
      <w:i w:val="0"/>
      <w:color w:val="61666C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LCTA Workplace Injury Checklist</dc:title>
  <dc:subject>Employee and Building Representative workplace injury reporting and follow-up checklist</dc:subject>
  <dc:creator>Leon Classroom Teachers Association</dc:creator>
  <cp:keywords>LCTA; workplace injury; employee checklist; workers compensation; injury-in-line-of-duty</cp:keywords>
  <dc:description>Contract-based member support checklist. LCTA logo reproduced from the supplied contract operating manual.</dc:description>
  <cp:lastModifiedBy>Leon Classroom Teachers Association</cp:lastModifiedBy>
  <cp:revision>1</cp:revision>
  <dcterms:created xsi:type="dcterms:W3CDTF">2013-12-23T23:15:00Z</dcterms:created>
  <dcterms:modified xsi:type="dcterms:W3CDTF">2013-12-23T23:15:00Z</dcterms:modified>
  <cp:category/>
</cp:coreProperties>
</file>